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1612"/>
        <w:gridCol w:w="9112"/>
        <w:gridCol w:w="1513"/>
        <w:gridCol w:w="2889"/>
      </w:tblGrid>
      <w:tr w:rsidR="00B37564" w:rsidRPr="007F2DBA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35714D" w:rsidRPr="001D4C5F" w:rsidRDefault="001D4C5F" w:rsidP="00CE1321">
      <w:pPr>
        <w:tabs>
          <w:tab w:val="left" w:pos="3555"/>
        </w:tabs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Please fill in the below table</w:t>
      </w:r>
      <w:r w:rsidR="00D43806">
        <w:rPr>
          <w:rFonts w:ascii="Arial" w:hAnsi="Arial" w:cs="Arial"/>
          <w:kern w:val="0"/>
          <w:sz w:val="20"/>
          <w:lang w:val="en-GB" w:eastAsia="zh-HK"/>
        </w:rPr>
        <w:t>.</w:t>
      </w:r>
      <w:r w:rsidR="00CE1321">
        <w:rPr>
          <w:rFonts w:ascii="Arial" w:hAnsi="Arial" w:cs="Arial"/>
          <w:kern w:val="0"/>
          <w:sz w:val="20"/>
          <w:lang w:val="en-GB" w:eastAsia="zh-HK"/>
        </w:rP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57"/>
        <w:gridCol w:w="1037"/>
        <w:gridCol w:w="1085"/>
        <w:gridCol w:w="1197"/>
        <w:gridCol w:w="1067"/>
        <w:gridCol w:w="956"/>
        <w:gridCol w:w="860"/>
        <w:gridCol w:w="1227"/>
        <w:gridCol w:w="950"/>
        <w:gridCol w:w="1236"/>
        <w:gridCol w:w="1447"/>
        <w:gridCol w:w="978"/>
        <w:gridCol w:w="992"/>
        <w:gridCol w:w="1237"/>
      </w:tblGrid>
      <w:tr w:rsidR="00D75CAF" w:rsidTr="00D75CAF">
        <w:tc>
          <w:tcPr>
            <w:tcW w:w="283" w:type="pct"/>
            <w:vAlign w:val="center"/>
          </w:tcPr>
          <w:p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/</w:t>
            </w:r>
          </w:p>
        </w:tc>
        <w:tc>
          <w:tcPr>
            <w:tcW w:w="350" w:type="pct"/>
            <w:vAlign w:val="center"/>
          </w:tcPr>
          <w:p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/</w:t>
            </w:r>
          </w:p>
        </w:tc>
        <w:tc>
          <w:tcPr>
            <w:tcW w:w="366" w:type="pct"/>
            <w:vAlign w:val="center"/>
          </w:tcPr>
          <w:p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/</w:t>
            </w:r>
          </w:p>
        </w:tc>
        <w:tc>
          <w:tcPr>
            <w:tcW w:w="396" w:type="pct"/>
            <w:vAlign w:val="center"/>
          </w:tcPr>
          <w:p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Parameter</w:t>
            </w:r>
          </w:p>
        </w:tc>
        <w:tc>
          <w:tcPr>
            <w:tcW w:w="353" w:type="pct"/>
            <w:vAlign w:val="center"/>
          </w:tcPr>
          <w:p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22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Carbon monoxide (CO)</w:t>
            </w:r>
          </w:p>
        </w:tc>
        <w:tc>
          <w:tcPr>
            <w:tcW w:w="322" w:type="pct"/>
            <w:vAlign w:val="center"/>
          </w:tcPr>
          <w:p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Nitrogen dioxide (NO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2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295" w:type="pct"/>
            <w:vAlign w:val="center"/>
          </w:tcPr>
          <w:p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Ozone (O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3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406" w:type="pct"/>
            <w:vAlign w:val="center"/>
          </w:tcPr>
          <w:p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22"/>
                <w:lang w:val="en-GB" w:eastAsia="zh-HK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Respirable suspended particulates (PM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10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338" w:type="pct"/>
            <w:vAlign w:val="center"/>
          </w:tcPr>
          <w:p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Carbon dioxide (CO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2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409" w:type="pct"/>
            <w:vAlign w:val="center"/>
          </w:tcPr>
          <w:p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Total volatile organic compounds (TVOC)</w:t>
            </w:r>
          </w:p>
        </w:tc>
        <w:tc>
          <w:tcPr>
            <w:tcW w:w="478" w:type="pct"/>
            <w:vAlign w:val="center"/>
          </w:tcPr>
          <w:p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Formaldehyde (HCHO)</w:t>
            </w:r>
          </w:p>
        </w:tc>
        <w:tc>
          <w:tcPr>
            <w:tcW w:w="337" w:type="pct"/>
            <w:vAlign w:val="center"/>
          </w:tcPr>
          <w:p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Radon (Rn)</w:t>
            </w:r>
          </w:p>
        </w:tc>
        <w:tc>
          <w:tcPr>
            <w:tcW w:w="335" w:type="pct"/>
            <w:vAlign w:val="center"/>
          </w:tcPr>
          <w:p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Airborne bacteria</w:t>
            </w:r>
          </w:p>
        </w:tc>
        <w:tc>
          <w:tcPr>
            <w:tcW w:w="332" w:type="pct"/>
            <w:vAlign w:val="center"/>
          </w:tcPr>
          <w:p w:rsidR="00D75CAF" w:rsidRPr="006F1A56" w:rsidRDefault="00D75CAF" w:rsidP="00D75C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Mould Growth</w:t>
            </w:r>
          </w:p>
        </w:tc>
      </w:tr>
      <w:tr w:rsidR="00D75CAF" w:rsidTr="00D75CAF">
        <w:tc>
          <w:tcPr>
            <w:tcW w:w="283" w:type="pct"/>
            <w:vAlign w:val="center"/>
          </w:tcPr>
          <w:p w:rsidR="00D75CAF" w:rsidRPr="00E5082A" w:rsidRDefault="00D75CAF" w:rsidP="00D75CAF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Sample Set no.</w:t>
            </w:r>
          </w:p>
        </w:tc>
        <w:tc>
          <w:tcPr>
            <w:tcW w:w="350" w:type="pct"/>
            <w:vAlign w:val="center"/>
          </w:tcPr>
          <w:p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Location</w:t>
            </w:r>
          </w:p>
        </w:tc>
        <w:tc>
          <w:tcPr>
            <w:tcW w:w="366" w:type="pct"/>
            <w:vAlign w:val="center"/>
          </w:tcPr>
          <w:p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Space Usage</w:t>
            </w:r>
          </w:p>
        </w:tc>
        <w:tc>
          <w:tcPr>
            <w:tcW w:w="396" w:type="pct"/>
            <w:vAlign w:val="center"/>
          </w:tcPr>
          <w:p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8-hour average acceptance limit</w:t>
            </w:r>
          </w:p>
        </w:tc>
        <w:tc>
          <w:tcPr>
            <w:tcW w:w="353" w:type="pct"/>
            <w:vAlign w:val="center"/>
          </w:tcPr>
          <w:p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&lt;10,000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or </w:t>
            </w:r>
            <w:r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&lt;8.7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ppmv</w:t>
            </w:r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322" w:type="pct"/>
            <w:vAlign w:val="center"/>
          </w:tcPr>
          <w:p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&lt;150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or </w:t>
            </w:r>
            <w:r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&lt;80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ppbv</w:t>
            </w:r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295" w:type="pct"/>
            <w:vAlign w:val="center"/>
          </w:tcPr>
          <w:p w:rsidR="00D75CAF" w:rsidRPr="00E5082A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&lt;120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3 </w:t>
            </w:r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or</w:t>
            </w:r>
            <w:r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&lt;61 </w:t>
            </w:r>
            <w:r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ppbv</w:t>
            </w:r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406" w:type="pct"/>
            <w:vAlign w:val="center"/>
          </w:tcPr>
          <w:p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&lt;180 (µg/m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338" w:type="pct"/>
            <w:vAlign w:val="center"/>
          </w:tcPr>
          <w:p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&lt;1,000 (ppmv)</w:t>
            </w:r>
          </w:p>
        </w:tc>
        <w:tc>
          <w:tcPr>
            <w:tcW w:w="409" w:type="pct"/>
            <w:vAlign w:val="center"/>
          </w:tcPr>
          <w:p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&lt;600 (µg/m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br/>
              <w:t xml:space="preserve">or 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br/>
              <w:t>&lt;261 (ppbv)</w:t>
            </w:r>
          </w:p>
        </w:tc>
        <w:tc>
          <w:tcPr>
            <w:tcW w:w="478" w:type="pct"/>
            <w:vAlign w:val="center"/>
          </w:tcPr>
          <w:p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&lt;100 (µg/m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br/>
              <w:t xml:space="preserve">or 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br/>
              <w:t>&lt;81 (ppbv)</w:t>
            </w:r>
          </w:p>
        </w:tc>
        <w:tc>
          <w:tcPr>
            <w:tcW w:w="337" w:type="pct"/>
            <w:vAlign w:val="center"/>
          </w:tcPr>
          <w:p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&lt;200 (Bq/m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335" w:type="pct"/>
            <w:vAlign w:val="center"/>
          </w:tcPr>
          <w:p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F1A56">
              <w:rPr>
                <w:rFonts w:ascii="Arial" w:hAnsi="Arial" w:cs="Arial"/>
                <w:b/>
                <w:sz w:val="18"/>
                <w:szCs w:val="20"/>
              </w:rPr>
              <w:t>&lt;1,000 (cfu/m</w:t>
            </w:r>
            <w:r w:rsidRPr="006F1A56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6F1A56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332" w:type="pct"/>
            <w:vAlign w:val="center"/>
          </w:tcPr>
          <w:p w:rsidR="00D75CAF" w:rsidRPr="006F1A56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Compliance Checklist</w:t>
            </w:r>
          </w:p>
        </w:tc>
      </w:tr>
      <w:tr w:rsidR="00D75CAF" w:rsidTr="00D75CAF">
        <w:tc>
          <w:tcPr>
            <w:tcW w:w="283" w:type="pct"/>
            <w:vAlign w:val="center"/>
          </w:tcPr>
          <w:p w:rsidR="00D75CAF" w:rsidRPr="006C5997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0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53" w:type="pct"/>
            <w:shd w:val="clear" w:color="auto" w:fill="DBE5F1" w:themeFill="accent1" w:themeFillTint="33"/>
            <w:vAlign w:val="center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22" w:type="pct"/>
            <w:shd w:val="clear" w:color="auto" w:fill="DBE5F1" w:themeFill="accent1" w:themeFillTint="33"/>
            <w:vAlign w:val="center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CAF" w:rsidTr="00D75CAF">
        <w:tc>
          <w:tcPr>
            <w:tcW w:w="283" w:type="pct"/>
            <w:vAlign w:val="center"/>
          </w:tcPr>
          <w:p w:rsidR="00D75CAF" w:rsidRPr="006C5997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0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53" w:type="pct"/>
            <w:shd w:val="clear" w:color="auto" w:fill="DBE5F1" w:themeFill="accent1" w:themeFillTint="33"/>
            <w:vAlign w:val="center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22" w:type="pct"/>
            <w:shd w:val="clear" w:color="auto" w:fill="DBE5F1" w:themeFill="accent1" w:themeFillTint="33"/>
            <w:vAlign w:val="center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CAF" w:rsidTr="00D75CAF">
        <w:tc>
          <w:tcPr>
            <w:tcW w:w="283" w:type="pct"/>
            <w:vAlign w:val="center"/>
          </w:tcPr>
          <w:p w:rsidR="00D75CAF" w:rsidRPr="006C5997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0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53" w:type="pct"/>
            <w:shd w:val="clear" w:color="auto" w:fill="DBE5F1" w:themeFill="accent1" w:themeFillTint="33"/>
            <w:vAlign w:val="center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22" w:type="pct"/>
            <w:shd w:val="clear" w:color="auto" w:fill="DBE5F1" w:themeFill="accent1" w:themeFillTint="33"/>
            <w:vAlign w:val="center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CAF" w:rsidTr="00D75CAF">
        <w:tc>
          <w:tcPr>
            <w:tcW w:w="283" w:type="pct"/>
            <w:vAlign w:val="center"/>
          </w:tcPr>
          <w:p w:rsidR="00D75CAF" w:rsidRPr="006C5997" w:rsidRDefault="00D75CAF" w:rsidP="00D75CAF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0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53" w:type="pct"/>
            <w:shd w:val="clear" w:color="auto" w:fill="DBE5F1" w:themeFill="accent1" w:themeFillTint="33"/>
            <w:vAlign w:val="center"/>
          </w:tcPr>
          <w:p w:rsidR="00D75CAF" w:rsidRPr="006C5997" w:rsidRDefault="00D75CAF" w:rsidP="00D75CAF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22" w:type="pct"/>
            <w:shd w:val="clear" w:color="auto" w:fill="DBE5F1" w:themeFill="accent1" w:themeFillTint="33"/>
            <w:vAlign w:val="center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:rsidR="00D75CAF" w:rsidRPr="006C5997" w:rsidRDefault="00D75CAF" w:rsidP="00D75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405E2" w:rsidRPr="000F3055" w:rsidRDefault="009405E2" w:rsidP="00A2500E">
      <w:pPr>
        <w:rPr>
          <w:rFonts w:ascii="Arial" w:hAnsi="Arial" w:cs="Arial"/>
          <w:sz w:val="20"/>
          <w:szCs w:val="20"/>
        </w:rPr>
      </w:pPr>
    </w:p>
    <w:sectPr w:rsidR="009405E2" w:rsidRPr="000F3055" w:rsidSect="009405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19E" w:rsidRDefault="0085119E">
      <w:r>
        <w:separator/>
      </w:r>
    </w:p>
  </w:endnote>
  <w:endnote w:type="continuationSeparator" w:id="0">
    <w:p w:rsidR="0085119E" w:rsidRDefault="0085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390" w:rsidRDefault="007E13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7E1390" w:rsidP="009405E2">
    <w:pPr>
      <w:pStyle w:val="Footer"/>
      <w:tabs>
        <w:tab w:val="clear" w:pos="8306"/>
        <w:tab w:val="right" w:pos="15120"/>
      </w:tabs>
      <w:rPr>
        <w:rFonts w:ascii="Arial" w:hAnsi="Arial" w:cs="Arial"/>
        <w:sz w:val="18"/>
        <w:szCs w:val="18"/>
        <w:lang w:val="en-GB"/>
      </w:rPr>
    </w:pPr>
    <w:r w:rsidRPr="00EE3988">
      <w:rPr>
        <w:rFonts w:ascii="Arial" w:hAnsi="Arial" w:cs="Arial"/>
        <w:sz w:val="18"/>
        <w:szCs w:val="18"/>
      </w:rPr>
      <w:t>Copyright © 2019 BEAM Society Limited. All rights reserved.</w:t>
    </w:r>
    <w:bookmarkStart w:id="0" w:name="QuickMark"/>
    <w:bookmarkStart w:id="1" w:name="_GoBack"/>
    <w:bookmarkEnd w:id="0"/>
    <w:bookmarkEnd w:id="1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E1321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E1321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390" w:rsidRDefault="007E1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19E" w:rsidRDefault="0085119E">
      <w:r>
        <w:separator/>
      </w:r>
    </w:p>
  </w:footnote>
  <w:footnote w:type="continuationSeparator" w:id="0">
    <w:p w:rsidR="0085119E" w:rsidRDefault="00851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390" w:rsidRDefault="007E13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6A0C3B">
      <w:rPr>
        <w:rFonts w:ascii="Arial" w:hAnsi="Arial" w:cs="Arial"/>
        <w:b/>
        <w:color w:val="FF0000"/>
        <w:sz w:val="28"/>
        <w:szCs w:val="28"/>
      </w:rPr>
      <w:t>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AE4FB5">
      <w:rPr>
        <w:rFonts w:ascii="Arial" w:hAnsi="Arial" w:cs="Arial"/>
        <w:b/>
        <w:color w:val="FF0000"/>
        <w:sz w:val="28"/>
        <w:szCs w:val="28"/>
      </w:rPr>
      <w:t>8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A0C3B">
      <w:rPr>
        <w:rFonts w:ascii="Arial" w:hAnsi="Arial" w:cs="Arial"/>
        <w:b/>
        <w:color w:val="FF0000"/>
        <w:sz w:val="28"/>
        <w:szCs w:val="28"/>
      </w:rPr>
      <w:t>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6A0C3B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AE4FB5">
      <w:rPr>
        <w:rFonts w:ascii="Arial" w:hAnsi="Arial" w:cs="Arial"/>
        <w:b/>
        <w:sz w:val="28"/>
        <w:szCs w:val="28"/>
        <w:lang w:eastAsia="zh-HK"/>
      </w:rPr>
      <w:t>8</w:t>
    </w:r>
  </w:p>
  <w:p w:rsidR="009405E2" w:rsidRDefault="00143A4D" w:rsidP="009405E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Indoor Air Quality</w:t>
    </w:r>
  </w:p>
  <w:p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390" w:rsidRDefault="007E13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64D5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E7F2F"/>
    <w:rsid w:val="000F21BD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3A4D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9657D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D4C5F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7121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003B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59F6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39DE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3B8F"/>
    <w:rsid w:val="006A529D"/>
    <w:rsid w:val="006A6B1C"/>
    <w:rsid w:val="006B1159"/>
    <w:rsid w:val="006B2A69"/>
    <w:rsid w:val="006B3EDE"/>
    <w:rsid w:val="006C3B73"/>
    <w:rsid w:val="006C5997"/>
    <w:rsid w:val="006D04C9"/>
    <w:rsid w:val="006D46B5"/>
    <w:rsid w:val="006E1D2F"/>
    <w:rsid w:val="006E2488"/>
    <w:rsid w:val="006E65D1"/>
    <w:rsid w:val="006F0B19"/>
    <w:rsid w:val="006F1A56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390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119E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5E2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4FB5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45E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1321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3806"/>
    <w:rsid w:val="00D44600"/>
    <w:rsid w:val="00D5144F"/>
    <w:rsid w:val="00D565D5"/>
    <w:rsid w:val="00D6481F"/>
    <w:rsid w:val="00D668B2"/>
    <w:rsid w:val="00D67711"/>
    <w:rsid w:val="00D75CAF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082A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33B7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747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D6EA6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70A9F-8923-4527-B960-567843AEF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103</Words>
  <Characters>561</Characters>
  <Application>Microsoft Office Word</Application>
  <DocSecurity>0</DocSecurity>
  <Lines>187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14</cp:revision>
  <cp:lastPrinted>2013-02-28T09:13:00Z</cp:lastPrinted>
  <dcterms:created xsi:type="dcterms:W3CDTF">2017-05-24T14:39:00Z</dcterms:created>
  <dcterms:modified xsi:type="dcterms:W3CDTF">2019-09-16T06:56:00Z</dcterms:modified>
</cp:coreProperties>
</file>